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Главы муниципального образования </w:t>
      </w:r>
    </w:p>
    <w:p w14:paraId="02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«Свердловское городское поселение» </w:t>
      </w:r>
    </w:p>
    <w:p w14:paraId="03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Всеволожского муниципального района Ленинградской области </w:t>
      </w:r>
    </w:p>
    <w:p w14:paraId="04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2022 год</w:t>
      </w:r>
    </w:p>
    <w:p w14:paraId="05000000">
      <w:pPr>
        <w:spacing w:after="0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жители Свердловского городского поселения, депутаты совета депутатов, гости, руководители предприятий и учреждений поселения!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муниципального образования глава муниципального образования ежегодно отчитывается перед населением и советом депутатов о своей деятельности и деятельности совета депутатов.</w:t>
      </w:r>
    </w:p>
    <w:p w14:paraId="08000000">
      <w:pPr>
        <w:tabs>
          <w:tab w:leader="none" w:pos="70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основе стабильного и планомерного развития муниципального образования лежит деятельность представительного органа - совета депутатов, которая закреплена Федеральным законом № 131-ФЗ «Об общих принципах организации местного самоуправления в Российской Федерации» и заключается в разработке и принятии нормативных правовых актов, регулирующих жизнедеятельность муниципального образования, а также контроль исполнения принятых актов. </w:t>
      </w:r>
    </w:p>
    <w:p w14:paraId="0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в МО «Свердловское городское поселение» Всеволожского муниципального района Ленинградской области осуществляет деятельность Совет депутатов 5 созыва, который был сформирован по итогам выборов, состоявшихся 19 сентября 2021 года. 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yellow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Уставом МО «Свердловское городское поселение» Совет депутатов осуществляет деятельность в полном составе, в количестве 15 депутатов, а Глава МО являлся его председателем. 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 год был не простым как для страны в целом, так и Свердловского городского поселения. На жизнедеятельность поселения повлияло и начало специальной военной операции, проводимой Российской Федерацией, и непрекращающееся санкционное давление западных стран. Общая, складывающаяся обстановка требовала оперативного реагирования, анализа ситуации и принятия не стандартных решений, нормотворческой инициативности.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Была проделана большая работа по восстановлению, выстраиванию работы и взаимодействия с исполнительным органом поселения – Администрацией. По итогам конкурса, Советом депутатов был утвержден и назначен на должность новый глава администрации. Им стал Тулаев Вадим Иванович, который приступил к своей деятельности с сентября 2022 года.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Приведен в соответствие с действующим законодательством главный нормативный акт поселения – Устав. Принято решение о необходимости принятия Устава в новой редакции, в связи с чем, был сформирован Устав МО «Свердловское городское поселение» Всеволожского муниципального района Ленинградской области (редакция №2). Новая редакция Устава была опубликована в газете Всеволожские вести (приложение Невский берег), и проведены публичные слушания. К сожалению, утвердить устав в 2022 году не удалось</w:t>
      </w:r>
      <w:r>
        <w:rPr>
          <w:rFonts w:ascii="Times New Roman" w:hAnsi="Times New Roman"/>
          <w:sz w:val="28"/>
        </w:rPr>
        <w:t xml:space="preserve">, работа будет завершена уже в текущем году. 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 мероприятия по отладке внутреннего взаимодействия между депутатами, в частности, были внесены изменения в нормативные документы относительно деятельности постоянных комиссий Совета депутатов. В Совете депутатов осуществляют свою деятельность 6 постоянных комиссий: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промышленности, жилищно-коммунальному комплексу, транспорту и связи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социальным вопросам, торговле и бытовому обслуживанию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использованию земель, собственности, архитектуре, строительству и экологической безопасности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вопросам местного самоуправления, законности и правопорядку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делам молодежи, военно-патриотическому воспитанию, спорту, образованию и культуре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экономическому развитию, бюджету, инвестициям и налогам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Деятельность главы МО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функциями в деятельности Главы МО является: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представление интересов муниципального образования в отношениях с органами местного самоуправления других муниципальных образований, органами государственной власти, гражданами и организациями. При реализации данной функции Глава МО без доверенности действует от имени муниципального образования. 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организация работы Совета депутатов путем издания распоряжений главы МО. 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граждан.</w:t>
      </w: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Помимо осуществления основной деятельности, Глава МО «Свердловское городское поселение», так же продолжал осуществлять деятельность как депутат второго уровня в МО «Всеволожский муниципальный район», принимал активное участие в заседаниях постоянных комиссий и совета депутатов МО «Всеволожский муниципальный район», на которых, рассматривались вопросы жизнедеятельности и обеспечения Всеволожского района в целом.</w:t>
      </w:r>
    </w:p>
    <w:p w14:paraId="21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Главой МО были рассмотрены и согласованы проекты планировки территории МО «Свердловское городское поселение», материалы по которым, в дальнейшем, были направлены в Комитет градостроительной политики Ленинградской области.</w:t>
      </w:r>
    </w:p>
    <w:p w14:paraId="22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Неоднократно принимал участие в совещаниях и заседаниях </w:t>
      </w:r>
      <w:r>
        <w:rPr>
          <w:rFonts w:ascii="Times New Roman" w:hAnsi="Times New Roman"/>
          <w:color w:themeColor="text1" w:val="000000"/>
          <w:sz w:val="28"/>
        </w:rPr>
        <w:t>комиссий</w:t>
      </w:r>
      <w:r>
        <w:rPr>
          <w:rFonts w:ascii="Times New Roman" w:hAnsi="Times New Roman"/>
          <w:color w:themeColor="text1" w:val="000000"/>
          <w:sz w:val="28"/>
        </w:rPr>
        <w:t xml:space="preserve"> проводимых комитетами Правительства Ленинградской области, представляя интересы Свердловского городского поселения.</w:t>
      </w:r>
    </w:p>
    <w:p w14:paraId="23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Глава муниципального образования, совместно, с администраций муниципального образования, заинтересованными организациями и гражданами неоднократно проводили рабочие совещания по различным вопросам, касающимся жизни муниципального образования.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период работы 5 созыва в 2022 году деятельность главы муниципального образования строилась на принципах взаимодействия, поддержки и сотрудничества с депутатами, должностными лицами администрации МО «Свердловское городское поселение», должностными лицами Всеволожского района и органов государственной власти Ленинградской области.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28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Работа с населением</w:t>
      </w:r>
    </w:p>
    <w:p w14:paraId="2A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и депутаты 1-10 округов осуществляли прием граждан в мкрн.1, дом 18 помещение КДЦ «НЕВА», депутаты 11-15 округов осуществляли прием граждан в помещении школы №2 </w:t>
      </w:r>
      <w:r>
        <w:rPr>
          <w:rFonts w:ascii="Times New Roman" w:hAnsi="Times New Roman"/>
          <w:sz w:val="28"/>
        </w:rPr>
        <w:t>гп.им</w:t>
      </w:r>
      <w:r>
        <w:rPr>
          <w:rFonts w:ascii="Times New Roman" w:hAnsi="Times New Roman"/>
          <w:sz w:val="28"/>
        </w:rPr>
        <w:t xml:space="preserve">. Свердлова мкрн 2, д.33. (Отделение №2 школьное). Информация о времени и месте приема граждан главой муниципального образования и депутатами была размещена на сайте муниципального образования. </w:t>
      </w:r>
    </w:p>
    <w:p w14:paraId="2B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На личных приемах граждан, депутатами принимались обращения жителей и представителей организаций.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обращения предоставлялись исчерпывающие разъяснения, подготавливались мотивированные ответы, направлялись запросы в уполномоченные органы и должностным лицам, в чью компетенцию входит рассмотрение вопроса.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 отчетный период было проведено </w:t>
      </w:r>
      <w:r>
        <w:rPr>
          <w:rFonts w:ascii="Times New Roman" w:hAnsi="Times New Roman"/>
          <w:color w:themeColor="text1" w:val="000000"/>
          <w:sz w:val="28"/>
        </w:rPr>
        <w:t xml:space="preserve">8 </w:t>
      </w:r>
      <w:r>
        <w:rPr>
          <w:rFonts w:ascii="Times New Roman" w:hAnsi="Times New Roman"/>
          <w:color w:themeColor="text1" w:val="000000"/>
          <w:sz w:val="28"/>
        </w:rPr>
        <w:t xml:space="preserve">личных приемов, поступило </w:t>
      </w:r>
      <w:r>
        <w:rPr>
          <w:rFonts w:ascii="Times New Roman" w:hAnsi="Times New Roman"/>
          <w:color w:themeColor="text1" w:val="000000"/>
          <w:sz w:val="28"/>
        </w:rPr>
        <w:t xml:space="preserve">                        </w:t>
      </w:r>
      <w:r>
        <w:rPr>
          <w:rFonts w:ascii="Times New Roman" w:hAnsi="Times New Roman"/>
          <w:color w:themeColor="text1" w:val="000000"/>
          <w:sz w:val="28"/>
        </w:rPr>
        <w:t xml:space="preserve">26 </w:t>
      </w:r>
      <w:r>
        <w:rPr>
          <w:rFonts w:ascii="Times New Roman" w:hAnsi="Times New Roman"/>
          <w:sz w:val="28"/>
        </w:rPr>
        <w:t xml:space="preserve">письменных обращений от организаций и граждан, также поступали устные обращения. Обращения рассмотрены в установленный законодательством срок. В разрезе тематики обращений, в общем числе, заявлений и жалоб граждан, лидируют обращения </w:t>
      </w:r>
      <w:r>
        <w:rPr>
          <w:rFonts w:ascii="Times New Roman" w:hAnsi="Times New Roman"/>
          <w:color w:val="101213"/>
          <w:sz w:val="28"/>
        </w:rPr>
        <w:t>по вопросам: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>- землепользования,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 xml:space="preserve">-  строительства,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>- благоустройства территории,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 xml:space="preserve">-  качества работы ЖКХ, 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>- уличного освещения,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101213"/>
          <w:sz w:val="28"/>
        </w:rPr>
      </w:pPr>
      <w:r>
        <w:rPr>
          <w:rFonts w:ascii="Times New Roman" w:hAnsi="Times New Roman"/>
          <w:color w:val="101213"/>
          <w:sz w:val="28"/>
        </w:rPr>
        <w:t xml:space="preserve">-  расчистки и подсыпки дорог. </w:t>
      </w:r>
    </w:p>
    <w:p w14:paraId="35000000">
      <w:pPr>
        <w:pStyle w:val="Style_1"/>
        <w:spacing w:after="0"/>
        <w:ind/>
        <w:jc w:val="both"/>
        <w:rPr>
          <w:sz w:val="28"/>
        </w:rPr>
      </w:pPr>
      <w:r>
        <w:rPr>
          <w:sz w:val="28"/>
        </w:rPr>
        <w:t>По всем поступившим обращениям граждан даны письменные ответы с разъяснениями, часть вопросов удалось разрешить в ходе приема населения.</w:t>
      </w:r>
    </w:p>
    <w:p w14:paraId="36000000">
      <w:pPr>
        <w:tabs>
          <w:tab w:leader="none" w:pos="993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Организация работы совета депутатов.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Важным событием в деятельности Совета депутатов стало обретение постоянного местонахождения представительного органа. Совет депутатов переехал в помещение расположенное по адресу г.п. им.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Свердлова, мкрн </w:t>
      </w:r>
      <w:r>
        <w:rPr>
          <w:rFonts w:ascii="Times New Roman" w:hAnsi="Times New Roman"/>
          <w:sz w:val="28"/>
        </w:rPr>
        <w:t xml:space="preserve">1,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дом 16.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с января 2022 года по декабрь 2022 года Главой МО было издано </w:t>
      </w:r>
      <w:r>
        <w:rPr>
          <w:rFonts w:ascii="Times New Roman" w:hAnsi="Times New Roman"/>
          <w:color w:themeColor="text1" w:val="000000"/>
          <w:sz w:val="28"/>
        </w:rPr>
        <w:t>27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Fonts w:ascii="Times New Roman" w:hAnsi="Times New Roman"/>
          <w:color w:themeColor="text1" w:val="000000"/>
          <w:sz w:val="28"/>
        </w:rPr>
        <w:t>двадцать семь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sz w:val="28"/>
        </w:rPr>
        <w:t>Распоряжения, касающихся организации работы Совета депутатов.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Аппаратом  Совета</w:t>
      </w:r>
      <w:r>
        <w:rPr>
          <w:rFonts w:ascii="Times New Roman" w:hAnsi="Times New Roman"/>
          <w:sz w:val="28"/>
        </w:rPr>
        <w:t xml:space="preserve"> депутатов в 2022 году получено более 180 писем от законодательных, исполнительных органов. Подготовлены и отправлены ответы и запросы в количестве 178 писем. 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период с января 2022 года по 31декабря 2022 года советом депутатов было проведено 16 (шестнадцать) заседаний, из них 8 (восемь ) заседаний расширенной комиссии совета депутатов, и 8 (восемь) заседаний совета депутатов.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Повестки заседаний совета депутатов формировались на основании предложений, вносимых депутатами, главой муниципального образования, главой администрации и лиц, уполномоченных на осуществление нормотворческой деятельности.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Советом депутатов принято 48 решений.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Немаловажными решениями для Совета депутатов, и поселения в целом, стали, конечно, решения «о специальных экономических мерах», принятое в связи с проведением мобилизации, «о бюджете поселения на 2023 год (плановые 2023 и 2024 года)», «о проведении публичных слушаний по рассмотрению Устава МО «Свердловское городское поселение» (редакция №2)», а так же решение «О принятии проектно-сметной документации по объекту «Строительство детского дошкольного учреждения на 220 мест» из муниципальной собственности муниципального образования Всеволожский муниципальный район в муниципальную собственность МО «Свердловское городское поселение» Всеволожского муниципального района ЛО».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green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Главой муниципального образования издано 2 постановления о назначении публичных слушаний по проектам бюджета на 2022 год (плановые 2023 и 2024 года) и по исполнению бюджета за 2022 год. 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8 (восемь) </w:t>
      </w:r>
      <w:r>
        <w:rPr>
          <w:rFonts w:ascii="Times New Roman" w:hAnsi="Times New Roman"/>
          <w:sz w:val="28"/>
        </w:rPr>
        <w:t>депутатов посетили занятия «Муниципальной школы» где рассматривались изменения областного законодательства, порядка организации муниципального контроля и другие вопросы.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7000000">
      <w:pPr>
        <w:tabs>
          <w:tab w:leader="none" w:pos="709" w:val="left"/>
        </w:tabs>
        <w:spacing w:after="0" w:line="240" w:lineRule="auto"/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 решения совета депутатов, постановления главы муниципального образования обязательные для опубликования, были опубликованы в газете «Всеволожские вести» приложение «Невский берег», а также размещены на официальном сайте муниципального образования в сети «Интернет».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завершение доклада хочется обратиться ко всем с призывом объединиться и быть сплоченными, ведь - Собраться вместе есть начало. Держаться вместе есть прогресс. Работать вместе есть успех.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Работа всех органов местного самоуправления муниципального образования и представительного, и исполнительно-распорядительного, должна стремиться к одной цели – сделать жизнь жителей муниципального образования стабильной, качественной и благополучной. 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4C00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Спасибо за внимание!</w:t>
      </w:r>
    </w:p>
    <w:p w14:paraId="4D000000">
      <w:pPr>
        <w:tabs>
          <w:tab w:leader="none" w:pos="851" w:val="left"/>
        </w:tabs>
        <w:spacing w:after="0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E000000">
      <w:pPr>
        <w:tabs>
          <w:tab w:leader="none" w:pos="7035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Глава МО «Свердловское городское поселение»</w:t>
      </w:r>
      <w:r>
        <w:rPr>
          <w:rFonts w:ascii="Times New Roman" w:hAnsi="Times New Roman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>Э.А. Нехвядович</w:t>
      </w:r>
    </w:p>
    <w:sectPr>
      <w:pgSz w:h="16838" w:orient="portrait" w:w="11906"/>
      <w:pgMar w:bottom="284" w:footer="708" w:gutter="0" w:header="708" w:left="1418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1"/>
      <w:lvlText w:val="%1."/>
      <w:lvlJc w:val="left"/>
      <w:pPr>
        <w:ind w:hanging="360" w:left="720"/>
      </w:pPr>
      <w:rPr>
        <w:rFonts w:asciiTheme="minorAscii" w:hAnsiTheme="minorHAnsi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toc 3"/>
    <w:next w:val="Style_2"/>
    <w:link w:val="Style_8_ch"/>
    <w:uiPriority w:val="39"/>
    <w:pPr>
      <w:ind w:firstLine="0" w:left="400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9_ch" w:type="character">
    <w:name w:val="heading 5"/>
    <w:link w:val="Style_9"/>
    <w:rPr>
      <w:rFonts w:ascii="XO Thames" w:hAnsi="XO Thames"/>
      <w:b w:val="1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0_ch" w:type="character">
    <w:name w:val="heading 1"/>
    <w:basedOn w:val="Style_2_ch"/>
    <w:link w:val="Style_10"/>
    <w:rPr>
      <w:rFonts w:asciiTheme="majorAscii" w:hAnsiTheme="majorHAnsi"/>
      <w:b w:val="1"/>
      <w:color w:themeColor="accent1" w:themeShade="BF" w:val="376092"/>
      <w:sz w:val="2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Footnote"/>
    <w:link w:val="Style_12"/>
    <w:rPr>
      <w:rFonts w:ascii="XO Thames" w:hAnsi="XO Thames"/>
    </w:rPr>
  </w:style>
  <w:style w:styleId="Style_13" w:type="paragraph">
    <w:name w:val="toc 1"/>
    <w:next w:val="Style_2"/>
    <w:link w:val="Style_13_ch"/>
    <w:uiPriority w:val="39"/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Подзаголовок_1"/>
    <w:basedOn w:val="Style_2"/>
    <w:next w:val="Style_2"/>
    <w:link w:val="Style_21_ch"/>
    <w:pPr>
      <w:numPr>
        <w:numId w:val="1"/>
      </w:numPr>
      <w:tabs>
        <w:tab w:leader="none" w:pos="5245" w:val="left"/>
      </w:tabs>
      <w:spacing w:after="240" w:before="240" w:line="240" w:lineRule="auto"/>
      <w:ind w:right="-1"/>
      <w:jc w:val="both"/>
    </w:pPr>
    <w:rPr>
      <w:rFonts w:ascii="Times New Roman" w:hAnsi="Times New Roman"/>
      <w:sz w:val="24"/>
    </w:rPr>
  </w:style>
  <w:style w:styleId="Style_21_ch" w:type="character">
    <w:name w:val="Подзаголовок_1"/>
    <w:basedOn w:val="Style_2_ch"/>
    <w:link w:val="Style_21"/>
    <w:rPr>
      <w:rFonts w:ascii="Times New Roman" w:hAnsi="Times New Roman"/>
      <w:sz w:val="24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No Spacing"/>
    <w:link w:val="Style_24_ch"/>
    <w:pPr>
      <w:spacing w:after="0" w:line="240" w:lineRule="auto"/>
      <w:ind/>
    </w:pPr>
  </w:style>
  <w:style w:styleId="Style_24_ch" w:type="character">
    <w:name w:val="No Spacing"/>
    <w:link w:val="Style_24"/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2_ch"/>
    <w:link w:val="Style_27"/>
    <w:rPr>
      <w:rFonts w:asciiTheme="majorAscii" w:hAnsiTheme="majorHAnsi"/>
      <w:b w:val="1"/>
      <w:color w:themeColor="accent1" w:val="4F81BD"/>
      <w:sz w:val="26"/>
    </w:rPr>
  </w:style>
  <w:style w:styleId="Style_28" w:type="paragraph">
    <w:name w:val="Font Style11"/>
    <w:basedOn w:val="Style_29"/>
    <w:link w:val="Style_28_ch"/>
    <w:rPr>
      <w:rFonts w:ascii="Times New Roman" w:hAnsi="Times New Roman"/>
    </w:rPr>
  </w:style>
  <w:style w:styleId="Style_28_ch" w:type="character">
    <w:name w:val="Font Style11"/>
    <w:basedOn w:val="Style_29_ch"/>
    <w:link w:val="Style_28"/>
    <w:rPr>
      <w:rFonts w:ascii="Times New Roman" w:hAnsi="Times New Roman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2023-03-21T09:03:09Z</dcterms:modified>
</cp:coreProperties>
</file>